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FF625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PN/1/ORG/2021</w:t>
      </w:r>
      <w:bookmarkStart w:id="0" w:name="_GoBack"/>
      <w:bookmarkEnd w:id="0"/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F6251" w:rsidRPr="00FF6251" w:rsidRDefault="00FF6251" w:rsidP="00FF6251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left="567" w:firstLine="0"/>
        <w:jc w:val="center"/>
        <w:rPr>
          <w:rFonts w:ascii="Arial" w:hAnsi="Arial" w:cs="Arial"/>
          <w:b/>
          <w:color w:val="0000CC"/>
        </w:rPr>
      </w:pPr>
      <w:r w:rsidRPr="00FF6251">
        <w:rPr>
          <w:rFonts w:ascii="Arial" w:hAnsi="Arial" w:cs="Arial"/>
          <w:b/>
          <w:color w:val="0000CC"/>
        </w:rPr>
        <w:t>Ochrona osób i mienia na obiektach i terenie „Zakładu Komunalnego” Sp. z o.o. oraz organizowanych imprez.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FC2C42">
          <w:rPr>
            <w:rFonts w:ascii="Arial" w:eastAsia="Calibri" w:hAnsi="Arial" w:cs="Arial"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50" w:rsidRDefault="00C93950" w:rsidP="00FC2C42">
      <w:pPr>
        <w:spacing w:after="0" w:line="240" w:lineRule="auto"/>
      </w:pPr>
      <w:r>
        <w:separator/>
      </w:r>
    </w:p>
  </w:endnote>
  <w:endnote w:type="continuationSeparator" w:id="0">
    <w:p w:rsidR="00C93950" w:rsidRDefault="00C93950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C93950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50" w:rsidRDefault="00C93950" w:rsidP="00FC2C42">
      <w:pPr>
        <w:spacing w:after="0" w:line="240" w:lineRule="auto"/>
      </w:pPr>
      <w:r>
        <w:separator/>
      </w:r>
    </w:p>
  </w:footnote>
  <w:footnote w:type="continuationSeparator" w:id="0">
    <w:p w:rsidR="00C93950" w:rsidRDefault="00C93950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215074"/>
    <w:rsid w:val="00256E5E"/>
    <w:rsid w:val="002B6C95"/>
    <w:rsid w:val="00497297"/>
    <w:rsid w:val="006C143F"/>
    <w:rsid w:val="00AA7436"/>
    <w:rsid w:val="00C93950"/>
    <w:rsid w:val="00D628E2"/>
    <w:rsid w:val="00ED2E4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2020-09-14T07:27:00Z</dcterms:created>
  <dcterms:modified xsi:type="dcterms:W3CDTF">2021-05-31T07:22:00Z</dcterms:modified>
</cp:coreProperties>
</file>